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DA1B2" w14:textId="28657FA9" w:rsidR="00004D9C" w:rsidRPr="00355099" w:rsidRDefault="00004D9C" w:rsidP="00355099">
      <w:pPr>
        <w:pStyle w:val="Title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>Casc</w:t>
      </w:r>
      <w:r w:rsidR="00821E79">
        <w:rPr>
          <w:rFonts w:ascii="Arial Narrow" w:hAnsi="Arial Narrow"/>
        </w:rPr>
        <w:t>adia &amp; NSD Math Partnership 2012 - 2013</w:t>
      </w:r>
    </w:p>
    <w:p w14:paraId="1390FEB6" w14:textId="77777777" w:rsidR="00004D9C" w:rsidRPr="00DA02E6" w:rsidRDefault="00004D9C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Cascadia Community College</w:t>
      </w:r>
    </w:p>
    <w:p w14:paraId="3C8845D0" w14:textId="7E26A2C8" w:rsidR="00004D9C" w:rsidRPr="00DA02E6" w:rsidRDefault="00AF39DF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2:00 PM – 3:2</w:t>
      </w:r>
      <w:r w:rsidR="00F31B34">
        <w:rPr>
          <w:rFonts w:ascii="Arial Narrow" w:hAnsi="Arial Narrow"/>
          <w:b/>
          <w:sz w:val="28"/>
          <w:szCs w:val="28"/>
        </w:rPr>
        <w:t xml:space="preserve">0 </w:t>
      </w:r>
      <w:r w:rsidR="00004D9C">
        <w:rPr>
          <w:rFonts w:ascii="Arial Narrow" w:hAnsi="Arial Narrow"/>
          <w:b/>
          <w:sz w:val="28"/>
          <w:szCs w:val="28"/>
        </w:rPr>
        <w:t>PM</w:t>
      </w:r>
    </w:p>
    <w:p w14:paraId="52EB1128" w14:textId="6284DDF8" w:rsidR="00004D9C" w:rsidRPr="00DA02E6" w:rsidRDefault="00821E79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January 13, 2013</w:t>
      </w:r>
    </w:p>
    <w:p w14:paraId="1EFE0825" w14:textId="77777777" w:rsidR="00004D9C" w:rsidRPr="00494F80" w:rsidRDefault="00004D9C" w:rsidP="00004D9C">
      <w:pPr>
        <w:rPr>
          <w:rFonts w:ascii="Arial Narrow" w:hAnsi="Arial Narrow"/>
          <w:b/>
          <w:szCs w:val="24"/>
        </w:rPr>
      </w:pPr>
    </w:p>
    <w:p w14:paraId="49927418" w14:textId="77777777" w:rsidR="00494F80" w:rsidRPr="00494F80" w:rsidRDefault="00494F80" w:rsidP="00494F80">
      <w:p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Goals for our work:</w:t>
      </w:r>
    </w:p>
    <w:p w14:paraId="127C95F6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Deepen our understanding of the CCSS through focused conversations on how our work aligns to or could align to the CCSS for Mathematics.</w:t>
      </w:r>
    </w:p>
    <w:p w14:paraId="5091BEA8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>Use common assessments items as a framework for discussions about student learning and instructional practices.</w:t>
      </w:r>
    </w:p>
    <w:p w14:paraId="024C0708" w14:textId="77777777" w:rsidR="00494F80" w:rsidRPr="00494F80" w:rsidRDefault="00494F80" w:rsidP="00494F80">
      <w:pPr>
        <w:numPr>
          <w:ilvl w:val="0"/>
          <w:numId w:val="1"/>
        </w:numPr>
        <w:rPr>
          <w:rFonts w:ascii="Arial Narrow" w:hAnsi="Arial Narrow"/>
          <w:b/>
          <w:szCs w:val="24"/>
        </w:rPr>
      </w:pPr>
      <w:r w:rsidRPr="00494F80">
        <w:rPr>
          <w:rFonts w:ascii="Arial Narrow" w:hAnsi="Arial Narrow"/>
          <w:b/>
          <w:szCs w:val="24"/>
        </w:rPr>
        <w:t xml:space="preserve">Collaborate and connect with math professionals in the Cascadia and </w:t>
      </w:r>
      <w:proofErr w:type="spellStart"/>
      <w:r w:rsidRPr="00494F80">
        <w:rPr>
          <w:rFonts w:ascii="Arial Narrow" w:hAnsi="Arial Narrow"/>
          <w:b/>
          <w:szCs w:val="24"/>
        </w:rPr>
        <w:t>Northshore</w:t>
      </w:r>
      <w:proofErr w:type="spellEnd"/>
      <w:r w:rsidRPr="00494F80">
        <w:rPr>
          <w:rFonts w:ascii="Arial Narrow" w:hAnsi="Arial Narrow"/>
          <w:b/>
          <w:szCs w:val="24"/>
        </w:rPr>
        <w:t xml:space="preserve"> School District cohort.</w:t>
      </w:r>
    </w:p>
    <w:p w14:paraId="43CF3571" w14:textId="77777777" w:rsidR="00515FC5" w:rsidRPr="00D45504" w:rsidRDefault="00515FC5" w:rsidP="00515FC5">
      <w:pPr>
        <w:ind w:left="720"/>
        <w:rPr>
          <w:rFonts w:ascii="Arial Narrow" w:hAnsi="Arial Narrow"/>
          <w:b/>
          <w:szCs w:val="24"/>
        </w:rPr>
      </w:pPr>
    </w:p>
    <w:p w14:paraId="194CB1F1" w14:textId="00F5BE37" w:rsidR="00004D9C" w:rsidRPr="00D45504" w:rsidRDefault="00004D9C" w:rsidP="002E66FF">
      <w:pPr>
        <w:pStyle w:val="Heading1"/>
        <w:jc w:val="left"/>
        <w:rPr>
          <w:rFonts w:ascii="Arial Narrow" w:hAnsi="Arial Narrow"/>
          <w:sz w:val="24"/>
          <w:szCs w:val="24"/>
        </w:rPr>
      </w:pPr>
      <w:r w:rsidRPr="00D45504">
        <w:rPr>
          <w:rFonts w:ascii="Arial Narrow" w:hAnsi="Arial Narrow"/>
          <w:sz w:val="24"/>
          <w:szCs w:val="24"/>
        </w:rPr>
        <w:t>Agenda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40"/>
        <w:gridCol w:w="9288"/>
      </w:tblGrid>
      <w:tr w:rsidR="00625B85" w:rsidRPr="00D45504" w14:paraId="55462A32" w14:textId="77777777" w:rsidTr="001F6FE8">
        <w:tc>
          <w:tcPr>
            <w:tcW w:w="1440" w:type="dxa"/>
            <w:shd w:val="clear" w:color="auto" w:fill="auto"/>
          </w:tcPr>
          <w:p w14:paraId="2E532FF0" w14:textId="79A7F903" w:rsidR="00004D9C" w:rsidRPr="00D45504" w:rsidRDefault="00AF39DF" w:rsidP="00020C36">
            <w:pPr>
              <w:rPr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2:00 – 2:20</w:t>
            </w:r>
          </w:p>
        </w:tc>
        <w:tc>
          <w:tcPr>
            <w:tcW w:w="0" w:type="auto"/>
            <w:shd w:val="clear" w:color="auto" w:fill="auto"/>
          </w:tcPr>
          <w:p w14:paraId="4862C54E" w14:textId="23961402" w:rsidR="00004D9C" w:rsidRDefault="00332943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Peer Observation Reflection</w:t>
            </w:r>
          </w:p>
          <w:p w14:paraId="12F32D65" w14:textId="4FE481F2" w:rsidR="00E77BBF" w:rsidRDefault="00E77BBF" w:rsidP="00E77BBF">
            <w:pPr>
              <w:numPr>
                <w:ilvl w:val="0"/>
                <w:numId w:val="5"/>
              </w:numPr>
              <w:rPr>
                <w:rFonts w:ascii="Arial Narrow" w:hAnsi="Arial Narrow"/>
                <w:szCs w:val="24"/>
              </w:rPr>
            </w:pPr>
            <w:r w:rsidRPr="00E77BBF">
              <w:rPr>
                <w:rFonts w:ascii="Arial Narrow" w:hAnsi="Arial Narrow"/>
                <w:szCs w:val="24"/>
              </w:rPr>
              <w:t xml:space="preserve">If you were to name one aspect of the observation process that was of particular benefit to you, what would </w:t>
            </w:r>
            <w:r>
              <w:rPr>
                <w:rFonts w:ascii="Arial Narrow" w:hAnsi="Arial Narrow"/>
                <w:szCs w:val="24"/>
              </w:rPr>
              <w:t>it be and why?  (</w:t>
            </w:r>
            <w:proofErr w:type="gramStart"/>
            <w:r>
              <w:rPr>
                <w:rFonts w:ascii="Arial Narrow" w:hAnsi="Arial Narrow"/>
                <w:szCs w:val="24"/>
              </w:rPr>
              <w:t>partner</w:t>
            </w:r>
            <w:proofErr w:type="gramEnd"/>
            <w:r w:rsidRPr="00E77BBF">
              <w:rPr>
                <w:rFonts w:ascii="Arial Narrow" w:hAnsi="Arial Narrow"/>
                <w:szCs w:val="24"/>
              </w:rPr>
              <w:t xml:space="preserve"> input </w:t>
            </w:r>
            <w:r>
              <w:rPr>
                <w:rFonts w:ascii="Arial Narrow" w:hAnsi="Arial Narrow"/>
                <w:szCs w:val="24"/>
              </w:rPr>
              <w:t xml:space="preserve">on task, </w:t>
            </w:r>
            <w:proofErr w:type="spellStart"/>
            <w:r>
              <w:rPr>
                <w:rFonts w:ascii="Arial Narrow" w:hAnsi="Arial Narrow"/>
                <w:szCs w:val="24"/>
              </w:rPr>
              <w:t>prebrief</w:t>
            </w:r>
            <w:proofErr w:type="spellEnd"/>
            <w:r w:rsidRPr="00E77BBF">
              <w:rPr>
                <w:rFonts w:ascii="Arial Narrow" w:hAnsi="Arial Narrow"/>
                <w:szCs w:val="24"/>
              </w:rPr>
              <w:t>, classroom observations, debrief discussions, etc…)</w:t>
            </w:r>
          </w:p>
          <w:p w14:paraId="063D2D01" w14:textId="5557B253" w:rsidR="00E77BBF" w:rsidRPr="00E77BBF" w:rsidRDefault="00E77BBF" w:rsidP="00E77BB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Cs w:val="24"/>
              </w:rPr>
            </w:pPr>
            <w:r w:rsidRPr="00E77BBF">
              <w:rPr>
                <w:rFonts w:ascii="Arial Narrow" w:hAnsi="Arial Narrow"/>
                <w:szCs w:val="24"/>
              </w:rPr>
              <w:t>What is one take away from the experience?</w:t>
            </w:r>
          </w:p>
          <w:p w14:paraId="67738239" w14:textId="141CA73D" w:rsidR="00E77BBF" w:rsidRPr="00E77BBF" w:rsidRDefault="00E77BBF" w:rsidP="00E77BB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Would you want to do another observation cycle with a different partner in the spring?</w:t>
            </w:r>
          </w:p>
          <w:p w14:paraId="36E48F92" w14:textId="30AB367F" w:rsidR="00332943" w:rsidRPr="00443B7B" w:rsidRDefault="00332943" w:rsidP="00B17273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038273E" w14:textId="1260C1A2" w:rsidR="00004D9C" w:rsidRPr="00D45504" w:rsidRDefault="00004D9C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625B85" w:rsidRPr="00D45504" w14:paraId="38F752C2" w14:textId="77777777" w:rsidTr="001F6FE8">
        <w:tc>
          <w:tcPr>
            <w:tcW w:w="1440" w:type="dxa"/>
            <w:shd w:val="clear" w:color="auto" w:fill="auto"/>
          </w:tcPr>
          <w:p w14:paraId="16ECE212" w14:textId="621F261C" w:rsidR="00412D81" w:rsidRPr="00D45504" w:rsidRDefault="00A5172A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2:20 – 2:4</w:t>
            </w:r>
            <w:r w:rsidR="00AF39DF">
              <w:rPr>
                <w:rFonts w:ascii="Arial Narrow" w:hAnsi="Arial Narrow"/>
                <w:b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26DF1E" w14:textId="4FA4A4BE" w:rsidR="00412D81" w:rsidRDefault="000A64CD" w:rsidP="00412D81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 xml:space="preserve">Exponential and Logarithm Problems to use </w:t>
            </w:r>
            <w:r w:rsidR="00AF39DF">
              <w:rPr>
                <w:rFonts w:ascii="Arial Narrow" w:hAnsi="Arial Narrow"/>
                <w:b/>
                <w:szCs w:val="24"/>
              </w:rPr>
              <w:t xml:space="preserve">for </w:t>
            </w:r>
            <w:r>
              <w:rPr>
                <w:rFonts w:ascii="Arial Narrow" w:hAnsi="Arial Narrow"/>
                <w:b/>
                <w:szCs w:val="24"/>
              </w:rPr>
              <w:t>our Common Task</w:t>
            </w:r>
          </w:p>
          <w:p w14:paraId="4BEAA3D6" w14:textId="3175D439" w:rsidR="00AF39DF" w:rsidRPr="00AF39DF" w:rsidRDefault="005639AD" w:rsidP="00412D81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Share the items found on the Illustrative Math site and agree upon the </w:t>
            </w:r>
            <w:r w:rsidR="006D4834">
              <w:rPr>
                <w:rFonts w:ascii="Arial Narrow" w:hAnsi="Arial Narrow"/>
                <w:szCs w:val="24"/>
              </w:rPr>
              <w:t>task to be used by the cohort</w:t>
            </w:r>
          </w:p>
          <w:p w14:paraId="18A97B99" w14:textId="7EDCBC80" w:rsidR="00412D81" w:rsidRPr="00D45504" w:rsidRDefault="00412D81" w:rsidP="00EC1419">
            <w:pPr>
              <w:pStyle w:val="ListParagraph"/>
              <w:rPr>
                <w:rFonts w:ascii="Arial Narrow" w:hAnsi="Arial Narrow"/>
                <w:szCs w:val="24"/>
              </w:rPr>
            </w:pPr>
          </w:p>
        </w:tc>
      </w:tr>
      <w:tr w:rsidR="002870F7" w:rsidRPr="00D45504" w14:paraId="240B1F69" w14:textId="77777777" w:rsidTr="001F6FE8">
        <w:tc>
          <w:tcPr>
            <w:tcW w:w="1440" w:type="dxa"/>
            <w:shd w:val="clear" w:color="auto" w:fill="auto"/>
          </w:tcPr>
          <w:p w14:paraId="01CC179F" w14:textId="22CD550E" w:rsidR="002870F7" w:rsidRPr="00D45504" w:rsidRDefault="00A5172A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2:4</w:t>
            </w:r>
            <w:r w:rsidR="00805F06">
              <w:rPr>
                <w:rFonts w:ascii="Arial Narrow" w:hAnsi="Arial Narrow"/>
                <w:b/>
                <w:szCs w:val="24"/>
              </w:rPr>
              <w:t>0 – 3:15</w:t>
            </w:r>
          </w:p>
        </w:tc>
        <w:tc>
          <w:tcPr>
            <w:tcW w:w="0" w:type="auto"/>
            <w:shd w:val="clear" w:color="auto" w:fill="auto"/>
          </w:tcPr>
          <w:p w14:paraId="1EA12719" w14:textId="4A36802A" w:rsidR="00506BA4" w:rsidRPr="00D45504" w:rsidRDefault="005B1EB4" w:rsidP="00506BA4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 xml:space="preserve">Common Core Mathematics in a PLC at Work </w:t>
            </w:r>
            <w:r w:rsidR="00883C36">
              <w:rPr>
                <w:rFonts w:ascii="Arial Narrow" w:hAnsi="Arial Narrow"/>
                <w:b/>
                <w:szCs w:val="24"/>
              </w:rPr>
              <w:t>– Pages 85 to 91</w:t>
            </w:r>
          </w:p>
          <w:p w14:paraId="0DB2EBC2" w14:textId="64EEB044" w:rsidR="002870F7" w:rsidRPr="00D45504" w:rsidRDefault="002870F7" w:rsidP="007C70AC">
            <w:pPr>
              <w:pStyle w:val="ListParagraph"/>
              <w:rPr>
                <w:rFonts w:ascii="Arial Narrow" w:hAnsi="Arial Narrow"/>
                <w:b/>
                <w:szCs w:val="24"/>
              </w:rPr>
            </w:pPr>
          </w:p>
        </w:tc>
      </w:tr>
      <w:tr w:rsidR="00625B85" w:rsidRPr="00D45504" w14:paraId="73FAF4DF" w14:textId="77777777" w:rsidTr="001F6FE8">
        <w:tc>
          <w:tcPr>
            <w:tcW w:w="1440" w:type="dxa"/>
            <w:shd w:val="clear" w:color="auto" w:fill="auto"/>
          </w:tcPr>
          <w:p w14:paraId="02955BED" w14:textId="6980EBAB" w:rsidR="00004D9C" w:rsidRPr="00D45504" w:rsidRDefault="0037760D" w:rsidP="00020C36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3:15 – 3:20</w:t>
            </w:r>
          </w:p>
        </w:tc>
        <w:tc>
          <w:tcPr>
            <w:tcW w:w="0" w:type="auto"/>
            <w:shd w:val="clear" w:color="auto" w:fill="auto"/>
          </w:tcPr>
          <w:p w14:paraId="5469A565" w14:textId="11DDF729" w:rsidR="00FB1D26" w:rsidRPr="0037760D" w:rsidRDefault="0037760D" w:rsidP="0037760D">
            <w:pPr>
              <w:rPr>
                <w:rFonts w:ascii="Arial Narrow" w:hAnsi="Arial Narrow"/>
                <w:b/>
                <w:szCs w:val="24"/>
              </w:rPr>
            </w:pPr>
            <w:r w:rsidRPr="0037760D">
              <w:rPr>
                <w:rFonts w:ascii="Arial Narrow" w:hAnsi="Arial Narrow"/>
                <w:b/>
                <w:szCs w:val="24"/>
              </w:rPr>
              <w:t>Debrief</w:t>
            </w:r>
          </w:p>
        </w:tc>
      </w:tr>
    </w:tbl>
    <w:p w14:paraId="22F5C2A3" w14:textId="11A42B38" w:rsidR="00004D9C" w:rsidRPr="00D45504" w:rsidRDefault="00004D9C" w:rsidP="00004D9C">
      <w:pPr>
        <w:rPr>
          <w:szCs w:val="24"/>
        </w:rPr>
      </w:pPr>
    </w:p>
    <w:p w14:paraId="684073EB" w14:textId="77777777" w:rsidR="00494F80" w:rsidRPr="001815E0" w:rsidRDefault="00494F80" w:rsidP="00494F80">
      <w:pPr>
        <w:rPr>
          <w:rFonts w:ascii="Arial Narrow" w:hAnsi="Arial Narrow"/>
          <w:szCs w:val="24"/>
        </w:rPr>
      </w:pPr>
      <w:r w:rsidRPr="001815E0">
        <w:rPr>
          <w:rFonts w:ascii="Arial Narrow" w:hAnsi="Arial Narrow"/>
          <w:b/>
          <w:szCs w:val="24"/>
        </w:rPr>
        <w:t>Future Cohort Meeting Dates</w:t>
      </w:r>
      <w:r w:rsidRPr="001815E0">
        <w:rPr>
          <w:rFonts w:ascii="Arial Narrow" w:hAnsi="Arial Narrow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  <w:gridCol w:w="2520"/>
      </w:tblGrid>
      <w:tr w:rsidR="00494F80" w:rsidRPr="001815E0" w14:paraId="11B8BAF1" w14:textId="77777777" w:rsidTr="005639AD">
        <w:tc>
          <w:tcPr>
            <w:tcW w:w="2520" w:type="dxa"/>
          </w:tcPr>
          <w:p w14:paraId="0BABDCDC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trike/>
                <w:sz w:val="24"/>
                <w:szCs w:val="24"/>
              </w:rPr>
              <w:t>October 25, 2012</w:t>
            </w:r>
          </w:p>
        </w:tc>
        <w:tc>
          <w:tcPr>
            <w:tcW w:w="2520" w:type="dxa"/>
          </w:tcPr>
          <w:p w14:paraId="5B449945" w14:textId="77777777" w:rsidR="00494F80" w:rsidRPr="00E06D2B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E06D2B">
              <w:rPr>
                <w:rFonts w:ascii="Arial Narrow" w:hAnsi="Arial Narrow"/>
                <w:b w:val="0"/>
                <w:strike/>
                <w:sz w:val="24"/>
                <w:szCs w:val="24"/>
              </w:rPr>
              <w:t>January 17, 2013</w:t>
            </w:r>
          </w:p>
          <w:p w14:paraId="71B8D27E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A70113A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March 14, 2013</w:t>
            </w:r>
          </w:p>
          <w:p w14:paraId="1851B5D0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494F80" w:rsidRPr="001815E0" w14:paraId="0600B768" w14:textId="77777777" w:rsidTr="005639AD">
        <w:tc>
          <w:tcPr>
            <w:tcW w:w="2520" w:type="dxa"/>
          </w:tcPr>
          <w:p w14:paraId="76E862E0" w14:textId="77777777" w:rsidR="00494F80" w:rsidRPr="00397CF3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397CF3">
              <w:rPr>
                <w:rFonts w:ascii="Arial Narrow" w:hAnsi="Arial Narrow"/>
                <w:b w:val="0"/>
                <w:strike/>
                <w:sz w:val="24"/>
                <w:szCs w:val="24"/>
              </w:rPr>
              <w:t>November 15, 2012</w:t>
            </w:r>
          </w:p>
          <w:p w14:paraId="4C261579" w14:textId="77777777" w:rsidR="00494F80" w:rsidRPr="001815E0" w:rsidRDefault="00494F80" w:rsidP="005639AD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6C12A496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February 7, 2013</w:t>
            </w:r>
          </w:p>
          <w:p w14:paraId="22410255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30349D3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April 25, 2013</w:t>
            </w:r>
          </w:p>
          <w:p w14:paraId="2034006A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494F80" w:rsidRPr="001815E0" w14:paraId="2C2D2330" w14:textId="77777777" w:rsidTr="005639AD">
        <w:tc>
          <w:tcPr>
            <w:tcW w:w="2520" w:type="dxa"/>
          </w:tcPr>
          <w:p w14:paraId="6488BC8A" w14:textId="77777777" w:rsidR="00494F80" w:rsidRPr="00494F8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494F80">
              <w:rPr>
                <w:rFonts w:ascii="Arial Narrow" w:hAnsi="Arial Narrow"/>
                <w:b w:val="0"/>
                <w:strike/>
                <w:sz w:val="24"/>
                <w:szCs w:val="24"/>
              </w:rPr>
              <w:t>December 6, 2012</w:t>
            </w:r>
          </w:p>
          <w:p w14:paraId="6CB5D6F7" w14:textId="77777777" w:rsidR="00494F80" w:rsidRPr="001815E0" w:rsidRDefault="00494F80" w:rsidP="005639AD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1704C3F5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February 28, 2013</w:t>
            </w:r>
          </w:p>
          <w:p w14:paraId="2CDE5C28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9822F50" w14:textId="77777777" w:rsidR="00494F80" w:rsidRPr="001815E0" w:rsidRDefault="00494F80" w:rsidP="005639AD">
            <w:pPr>
              <w:jc w:val="both"/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May 16, 2013</w:t>
            </w:r>
          </w:p>
          <w:p w14:paraId="425E0686" w14:textId="77777777" w:rsidR="00494F80" w:rsidRPr="001815E0" w:rsidRDefault="00494F80" w:rsidP="005639AD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</w:tbl>
    <w:p w14:paraId="3EDA5742" w14:textId="77777777" w:rsidR="00562FCF" w:rsidRPr="00D45504" w:rsidRDefault="00562FCF" w:rsidP="00562FCF">
      <w:pPr>
        <w:ind w:firstLine="720"/>
        <w:rPr>
          <w:rFonts w:ascii="Arial Narrow" w:hAnsi="Arial Narrow"/>
          <w:szCs w:val="24"/>
        </w:rPr>
      </w:pPr>
    </w:p>
    <w:p w14:paraId="63030B84" w14:textId="77777777" w:rsidR="00004D9C" w:rsidRPr="00D45504" w:rsidRDefault="00004D9C" w:rsidP="00004D9C">
      <w:p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Norms for our Work:</w:t>
      </w:r>
    </w:p>
    <w:p w14:paraId="06DDA1B2" w14:textId="77777777" w:rsidR="00004D9C" w:rsidRPr="00D45504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Presume positive intentions.</w:t>
      </w:r>
    </w:p>
    <w:p w14:paraId="7F90DBDD" w14:textId="77777777" w:rsidR="00004D9C" w:rsidRPr="00D45504" w:rsidRDefault="00004D9C" w:rsidP="00004D9C">
      <w:pPr>
        <w:pStyle w:val="Heading1"/>
        <w:numPr>
          <w:ilvl w:val="0"/>
          <w:numId w:val="2"/>
        </w:numPr>
        <w:jc w:val="left"/>
        <w:rPr>
          <w:rFonts w:ascii="Arial Narrow" w:hAnsi="Arial Narrow"/>
          <w:sz w:val="24"/>
          <w:szCs w:val="24"/>
        </w:rPr>
      </w:pPr>
      <w:r w:rsidRPr="00D45504">
        <w:rPr>
          <w:rFonts w:ascii="Arial Narrow" w:hAnsi="Arial Narrow"/>
          <w:sz w:val="24"/>
          <w:szCs w:val="24"/>
        </w:rPr>
        <w:t>Respect for multiple perspectives.</w:t>
      </w:r>
    </w:p>
    <w:p w14:paraId="734FA1F2" w14:textId="77777777" w:rsidR="00004D9C" w:rsidRPr="00D45504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D45504">
        <w:rPr>
          <w:rFonts w:ascii="Arial Narrow" w:hAnsi="Arial Narrow"/>
          <w:b/>
          <w:szCs w:val="24"/>
        </w:rPr>
        <w:t>Equity of All Voices.</w:t>
      </w:r>
    </w:p>
    <w:p w14:paraId="5104BA13" w14:textId="77777777" w:rsidR="00004D9C" w:rsidRPr="00D45504" w:rsidRDefault="00004D9C" w:rsidP="00004D9C">
      <w:pPr>
        <w:rPr>
          <w:szCs w:val="24"/>
        </w:rPr>
      </w:pPr>
    </w:p>
    <w:p w14:paraId="3D6339CD" w14:textId="77777777" w:rsidR="000319DC" w:rsidRDefault="000319DC"/>
    <w:sectPr w:rsidR="000319DC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4EC"/>
    <w:multiLevelType w:val="hybridMultilevel"/>
    <w:tmpl w:val="6C349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D5A73"/>
    <w:multiLevelType w:val="hybridMultilevel"/>
    <w:tmpl w:val="519AFD8C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81350FA"/>
    <w:multiLevelType w:val="hybridMultilevel"/>
    <w:tmpl w:val="8B2E0500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4782D9A"/>
    <w:multiLevelType w:val="hybridMultilevel"/>
    <w:tmpl w:val="6346C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E4424"/>
    <w:multiLevelType w:val="hybridMultilevel"/>
    <w:tmpl w:val="9CC01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51FEF"/>
    <w:multiLevelType w:val="hybridMultilevel"/>
    <w:tmpl w:val="893415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9C"/>
    <w:rsid w:val="00004D9C"/>
    <w:rsid w:val="00020C36"/>
    <w:rsid w:val="000319DC"/>
    <w:rsid w:val="000A64CD"/>
    <w:rsid w:val="000B2ED4"/>
    <w:rsid w:val="001567C4"/>
    <w:rsid w:val="00160B4D"/>
    <w:rsid w:val="001B0DA2"/>
    <w:rsid w:val="001B638F"/>
    <w:rsid w:val="001D2C41"/>
    <w:rsid w:val="001F6FE8"/>
    <w:rsid w:val="002870F7"/>
    <w:rsid w:val="002E66FF"/>
    <w:rsid w:val="002F2FBD"/>
    <w:rsid w:val="00332943"/>
    <w:rsid w:val="00355099"/>
    <w:rsid w:val="0037760D"/>
    <w:rsid w:val="00412D81"/>
    <w:rsid w:val="00494F80"/>
    <w:rsid w:val="004C0058"/>
    <w:rsid w:val="004F4CBB"/>
    <w:rsid w:val="00505518"/>
    <w:rsid w:val="00506BA4"/>
    <w:rsid w:val="00515FC5"/>
    <w:rsid w:val="00542EFB"/>
    <w:rsid w:val="00562FCF"/>
    <w:rsid w:val="005639AD"/>
    <w:rsid w:val="00563EFE"/>
    <w:rsid w:val="00564415"/>
    <w:rsid w:val="00571F0E"/>
    <w:rsid w:val="005B1EB4"/>
    <w:rsid w:val="005B5ABD"/>
    <w:rsid w:val="00625B85"/>
    <w:rsid w:val="00642DF0"/>
    <w:rsid w:val="006B0D44"/>
    <w:rsid w:val="006C2488"/>
    <w:rsid w:val="006D4834"/>
    <w:rsid w:val="006E3D33"/>
    <w:rsid w:val="007058B4"/>
    <w:rsid w:val="007232F2"/>
    <w:rsid w:val="00734418"/>
    <w:rsid w:val="00772931"/>
    <w:rsid w:val="007A3C6C"/>
    <w:rsid w:val="007C1865"/>
    <w:rsid w:val="007C70AC"/>
    <w:rsid w:val="007E1549"/>
    <w:rsid w:val="007E633E"/>
    <w:rsid w:val="00805F06"/>
    <w:rsid w:val="00821E79"/>
    <w:rsid w:val="00841880"/>
    <w:rsid w:val="00874C56"/>
    <w:rsid w:val="00883C36"/>
    <w:rsid w:val="00894FF9"/>
    <w:rsid w:val="008E307A"/>
    <w:rsid w:val="008F788A"/>
    <w:rsid w:val="0093468E"/>
    <w:rsid w:val="009363FF"/>
    <w:rsid w:val="00951BCC"/>
    <w:rsid w:val="009C5682"/>
    <w:rsid w:val="009E09B3"/>
    <w:rsid w:val="00A506AC"/>
    <w:rsid w:val="00A5172A"/>
    <w:rsid w:val="00AA3711"/>
    <w:rsid w:val="00AF39DF"/>
    <w:rsid w:val="00B01F97"/>
    <w:rsid w:val="00B17273"/>
    <w:rsid w:val="00B376EC"/>
    <w:rsid w:val="00B64D0A"/>
    <w:rsid w:val="00B839BE"/>
    <w:rsid w:val="00BC6339"/>
    <w:rsid w:val="00D16E83"/>
    <w:rsid w:val="00D2318B"/>
    <w:rsid w:val="00D35518"/>
    <w:rsid w:val="00D44D79"/>
    <w:rsid w:val="00D45504"/>
    <w:rsid w:val="00DE4F0D"/>
    <w:rsid w:val="00DF38B9"/>
    <w:rsid w:val="00E06D2B"/>
    <w:rsid w:val="00E125A7"/>
    <w:rsid w:val="00E650B6"/>
    <w:rsid w:val="00E77BBF"/>
    <w:rsid w:val="00E901F5"/>
    <w:rsid w:val="00EA34BB"/>
    <w:rsid w:val="00EC1419"/>
    <w:rsid w:val="00F31B34"/>
    <w:rsid w:val="00FB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1F68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D9E671C6</Template>
  <TotalTime>0</TotalTime>
  <Pages>1</Pages>
  <Words>235</Words>
  <Characters>1201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Gruber</dc:creator>
  <cp:lastModifiedBy>Luce, Megan</cp:lastModifiedBy>
  <cp:revision>2</cp:revision>
  <cp:lastPrinted>2011-09-28T17:12:00Z</cp:lastPrinted>
  <dcterms:created xsi:type="dcterms:W3CDTF">2013-07-18T21:26:00Z</dcterms:created>
  <dcterms:modified xsi:type="dcterms:W3CDTF">2013-07-18T21:26:00Z</dcterms:modified>
</cp:coreProperties>
</file>